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资料收集标准及要求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招标、造价业务台账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造价类业务：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1、造价业务台账  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2、造价咨询合同原件               1份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3、对应项目发票扫描件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4、预决算书原件  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5、审计类业务须提供以下资料: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审计报告原件（盖章后文件）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定案表原件（盖章后文件）      1份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结算审计明细表                1份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6、满意度调查表  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7、典型性业绩效果图电子版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8、扫描电子版压缩文件传至专管员邮箱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招标代理业务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1、招标业务台账  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2、招标代理合同原件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3、对应项目发票扫描件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4、中标通知书原件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5、资料汇编      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6、满意度调查表原件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7、典型性业绩效果图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8、扫描电子版压缩文件传至专管员邮箱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三、工程监理业务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1、监理业务台账  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2、监理合同原件  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3、中标通知书原件  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4、监理文件归档资料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5、满意度调查表原件               1份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6、典型性业绩效果图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7、扫描电子版压缩文件传至专管员邮箱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032C"/>
    <w:multiLevelType w:val="singleLevel"/>
    <w:tmpl w:val="5A29032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C2E40"/>
    <w:rsid w:val="14DC2E40"/>
    <w:rsid w:val="5516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2019-12-10T02:44:00Z</dcterms:created>
  <dc:creator>1280665889</dc:creator>
  <cp:lastModifiedBy>1280665889</cp:lastModifiedBy>
  <dcterms:modified xsi:type="dcterms:W3CDTF">2019-12-10T02:45:58Z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